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B755" w14:textId="421D08C8" w:rsidR="008C4393" w:rsidRPr="008C4393" w:rsidRDefault="00C20D07" w:rsidP="00C20D07">
      <w:pPr>
        <w:jc w:val="center"/>
        <w:rPr>
          <w:b/>
          <w:bCs/>
          <w:rtl/>
        </w:rPr>
      </w:pPr>
      <w:r w:rsidRPr="00C20D07">
        <w:rPr>
          <w:rFonts w:hint="cs"/>
          <w:rtl/>
        </w:rPr>
        <w:t>המסמך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נכתב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בלשון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זכר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מטעמים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טכניים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בלבד</w:t>
      </w:r>
      <w:r w:rsidRPr="00C20D07">
        <w:rPr>
          <w:rtl/>
        </w:rPr>
        <w:t xml:space="preserve">, </w:t>
      </w:r>
      <w:r w:rsidRPr="00C20D07">
        <w:rPr>
          <w:rFonts w:hint="cs"/>
          <w:rtl/>
        </w:rPr>
        <w:t>אך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אמור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בו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חל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על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כל</w:t>
      </w:r>
      <w:r w:rsidRPr="00C20D07">
        <w:rPr>
          <w:rtl/>
        </w:rPr>
        <w:t xml:space="preserve"> </w:t>
      </w:r>
      <w:r w:rsidRPr="00C20D07">
        <w:rPr>
          <w:rFonts w:hint="cs"/>
          <w:rtl/>
        </w:rPr>
        <w:t>המגדרים</w:t>
      </w:r>
    </w:p>
    <w:p w14:paraId="615A70E5" w14:textId="6B522992" w:rsidR="0000095F" w:rsidRPr="0000095F" w:rsidRDefault="0000095F" w:rsidP="0000095F">
      <w:pPr>
        <w:pStyle w:val="1"/>
        <w:rPr>
          <w:rtl/>
        </w:rPr>
      </w:pPr>
      <w:r w:rsidRPr="0000095F">
        <w:rPr>
          <w:rFonts w:hint="cs"/>
          <w:rtl/>
        </w:rPr>
        <w:t>הנחיות</w:t>
      </w:r>
      <w:r w:rsidRPr="0000095F">
        <w:rPr>
          <w:rtl/>
        </w:rPr>
        <w:t xml:space="preserve"> </w:t>
      </w:r>
      <w:r w:rsidRPr="0000095F">
        <w:rPr>
          <w:rFonts w:hint="cs"/>
          <w:rtl/>
        </w:rPr>
        <w:t>לקבלת</w:t>
      </w:r>
      <w:r w:rsidRPr="0000095F">
        <w:rPr>
          <w:rtl/>
        </w:rPr>
        <w:t xml:space="preserve"> </w:t>
      </w:r>
      <w:r w:rsidRPr="0000095F">
        <w:rPr>
          <w:rFonts w:hint="cs"/>
          <w:rtl/>
        </w:rPr>
        <w:t>אישור</w:t>
      </w:r>
      <w:r w:rsidRPr="0000095F">
        <w:rPr>
          <w:rtl/>
        </w:rPr>
        <w:t xml:space="preserve"> </w:t>
      </w:r>
      <w:r w:rsidRPr="0000095F">
        <w:rPr>
          <w:rFonts w:hint="cs"/>
          <w:rtl/>
        </w:rPr>
        <w:t>לניהול</w:t>
      </w:r>
      <w:r w:rsidRPr="0000095F">
        <w:rPr>
          <w:rtl/>
        </w:rPr>
        <w:t xml:space="preserve"> </w:t>
      </w:r>
      <w:r w:rsidRPr="0000095F">
        <w:rPr>
          <w:rFonts w:hint="cs"/>
          <w:rtl/>
        </w:rPr>
        <w:t>מחקר</w:t>
      </w:r>
    </w:p>
    <w:p w14:paraId="353BB839" w14:textId="61F6BCDC" w:rsidR="0000095F" w:rsidRPr="0000095F" w:rsidRDefault="00892FA3" w:rsidP="00BC56F0">
      <w:pPr>
        <w:spacing w:before="240" w:line="360" w:lineRule="auto"/>
      </w:pPr>
      <w:r>
        <w:rPr>
          <w:rFonts w:cs="Arial"/>
          <w:rtl/>
        </w:rPr>
        <w:t>כל מחקר הכולל משתתף אנושי, הנערך בתחומי האוניברסיטה או בחסותה</w:t>
      </w:r>
      <w:r w:rsidR="0000095F" w:rsidRPr="0000095F">
        <w:rPr>
          <w:rtl/>
        </w:rPr>
        <w:t xml:space="preserve">, </w:t>
      </w:r>
      <w:r w:rsidR="008C5F53">
        <w:rPr>
          <w:rFonts w:cs="Arial"/>
          <w:rtl/>
        </w:rPr>
        <w:t>מחויב בסקירה מוסדית וקבלת אישור בטרם תחילתו. להלן הכללים המחייבים</w:t>
      </w:r>
      <w:r w:rsidR="008C5F53">
        <w:rPr>
          <w:rFonts w:hint="cs"/>
          <w:rtl/>
        </w:rPr>
        <w:t>:</w:t>
      </w:r>
    </w:p>
    <w:p w14:paraId="37B2B8AD" w14:textId="5692E81A" w:rsidR="00E2336C" w:rsidRPr="00FC0CDB" w:rsidRDefault="00AE4722" w:rsidP="00BC56F0">
      <w:pPr>
        <w:pStyle w:val="a9"/>
        <w:numPr>
          <w:ilvl w:val="0"/>
          <w:numId w:val="2"/>
        </w:numPr>
        <w:spacing w:line="360" w:lineRule="auto"/>
        <w:rPr>
          <w:rtl/>
        </w:rPr>
      </w:pPr>
      <w:r>
        <w:rPr>
          <w:rFonts w:cs="Arial"/>
          <w:rtl/>
        </w:rPr>
        <w:t xml:space="preserve">באוניברסיטה </w:t>
      </w:r>
      <w:r>
        <w:rPr>
          <w:rFonts w:cs="Arial" w:hint="cs"/>
          <w:rtl/>
        </w:rPr>
        <w:t xml:space="preserve">פועלת ועדת סקירה מוסדית אוניברסיטאית ובנוסף </w:t>
      </w:r>
      <w:r>
        <w:rPr>
          <w:rFonts w:cs="Arial"/>
          <w:rtl/>
        </w:rPr>
        <w:t>פועלות ועדות אתיקה פקולטטיביות ו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חלקתיות, שהן </w:t>
      </w:r>
      <w:proofErr w:type="spellStart"/>
      <w:r>
        <w:rPr>
          <w:rFonts w:cs="Arial"/>
          <w:rtl/>
        </w:rPr>
        <w:t>תת־ועדות</w:t>
      </w:r>
      <w:proofErr w:type="spellEnd"/>
      <w:r>
        <w:rPr>
          <w:rFonts w:cs="Arial"/>
          <w:rtl/>
        </w:rPr>
        <w:t xml:space="preserve"> של ועדת הסקירה המוסדית. תפקידן כולל</w:t>
      </w:r>
      <w:r w:rsidR="001067A8" w:rsidRPr="001067A8">
        <w:t>:</w:t>
      </w:r>
    </w:p>
    <w:p w14:paraId="220C093D" w14:textId="3D16AB8F" w:rsidR="009E33AF" w:rsidRDefault="00006654" w:rsidP="00BC56F0">
      <w:pPr>
        <w:pStyle w:val="a9"/>
        <w:numPr>
          <w:ilvl w:val="0"/>
          <w:numId w:val="6"/>
        </w:numPr>
        <w:spacing w:line="360" w:lineRule="auto"/>
        <w:ind w:left="1218"/>
      </w:pPr>
      <w:r>
        <w:rPr>
          <w:rFonts w:cs="Arial"/>
          <w:rtl/>
        </w:rPr>
        <w:t>סקירת הצעת המחקר והחומרים הנלווים, וקבלת החלטה על מתן אישור או דחיית הבקשה</w:t>
      </w:r>
      <w:r w:rsidR="001067A8">
        <w:rPr>
          <w:rFonts w:hint="cs"/>
          <w:rtl/>
        </w:rPr>
        <w:t>.</w:t>
      </w:r>
    </w:p>
    <w:p w14:paraId="040DDADC" w14:textId="15CE2E85" w:rsidR="001067A8" w:rsidRDefault="001C39BB" w:rsidP="00BC56F0">
      <w:pPr>
        <w:pStyle w:val="a9"/>
        <w:numPr>
          <w:ilvl w:val="0"/>
          <w:numId w:val="6"/>
        </w:numPr>
        <w:spacing w:line="360" w:lineRule="auto"/>
        <w:ind w:left="1218"/>
      </w:pPr>
      <w:r>
        <w:rPr>
          <w:rFonts w:cs="Arial"/>
          <w:rtl/>
        </w:rPr>
        <w:t>מתן ייעוץ לחוקרים, לבקשתם, בנושאים אתיים העולים במהלך תכנון המחקר וביצועו</w:t>
      </w:r>
      <w:r w:rsidR="001067A8">
        <w:rPr>
          <w:rFonts w:hint="cs"/>
          <w:rtl/>
        </w:rPr>
        <w:t>.</w:t>
      </w:r>
    </w:p>
    <w:p w14:paraId="1B74FD66" w14:textId="1EA0507E" w:rsidR="00F5524C" w:rsidRDefault="00387B83" w:rsidP="00BC56F0">
      <w:pPr>
        <w:pStyle w:val="a9"/>
        <w:numPr>
          <w:ilvl w:val="0"/>
          <w:numId w:val="2"/>
        </w:numPr>
        <w:spacing w:line="360" w:lineRule="auto"/>
      </w:pPr>
      <w:r>
        <w:rPr>
          <w:rFonts w:cs="Arial"/>
          <w:rtl/>
        </w:rPr>
        <w:t>חוקר הוא מי שהוסמך על ידי האוניברסיטה להנחות מחקר, או חוקר ראשי במחקר הממומן על</w:t>
      </w:r>
      <w:r>
        <w:rPr>
          <w:rFonts w:cs="Arial" w:hint="cs"/>
          <w:rtl/>
        </w:rPr>
        <w:t>-</w:t>
      </w:r>
      <w:r>
        <w:rPr>
          <w:rFonts w:cs="Arial"/>
          <w:rtl/>
        </w:rPr>
        <w:t>ידי גורם חיצוני. מחקרים הנעשים על</w:t>
      </w:r>
      <w:r>
        <w:rPr>
          <w:rFonts w:cs="Arial" w:hint="cs"/>
          <w:rtl/>
        </w:rPr>
        <w:t>-</w:t>
      </w:r>
      <w:r>
        <w:rPr>
          <w:rFonts w:cs="Arial"/>
          <w:rtl/>
        </w:rPr>
        <w:t>ידי סטודנטים הם באחריות החוקר הממונה</w:t>
      </w:r>
      <w:r w:rsidR="00F5524C">
        <w:rPr>
          <w:rFonts w:hint="cs"/>
          <w:rtl/>
        </w:rPr>
        <w:t>.</w:t>
      </w:r>
    </w:p>
    <w:p w14:paraId="62A8A8B1" w14:textId="2D1F2787" w:rsidR="00A36BD8" w:rsidRDefault="00861ACA" w:rsidP="00BC56F0">
      <w:pPr>
        <w:pStyle w:val="a9"/>
        <w:numPr>
          <w:ilvl w:val="0"/>
          <w:numId w:val="2"/>
        </w:numPr>
        <w:spacing w:line="360" w:lineRule="auto"/>
      </w:pPr>
      <w:r>
        <w:rPr>
          <w:rFonts w:cs="Arial"/>
          <w:rtl/>
        </w:rPr>
        <w:t>במקרים מסוימים, ובהתאם לטיב הנושא, רשאית ועדת ה</w:t>
      </w:r>
      <w:r>
        <w:rPr>
          <w:rFonts w:cs="Arial" w:hint="cs"/>
          <w:rtl/>
        </w:rPr>
        <w:t xml:space="preserve">אתיקה </w:t>
      </w:r>
      <w:r>
        <w:rPr>
          <w:rFonts w:cs="Arial"/>
          <w:rtl/>
        </w:rPr>
        <w:t>לפנות לקבלת חוות דעת חיצונית מאנשי מקצוע כגון רבנים, רופאים, יועצים משפטיים ואחרים</w:t>
      </w:r>
      <w:r w:rsidR="00BC56F0">
        <w:rPr>
          <w:rFonts w:hint="cs"/>
          <w:rtl/>
        </w:rPr>
        <w:t>.</w:t>
      </w:r>
    </w:p>
    <w:p w14:paraId="20044F37" w14:textId="77777777" w:rsidR="00C82E8A" w:rsidRDefault="002142A8" w:rsidP="00BC56F0">
      <w:pPr>
        <w:pStyle w:val="a9"/>
        <w:numPr>
          <w:ilvl w:val="0"/>
          <w:numId w:val="2"/>
        </w:numPr>
        <w:spacing w:line="360" w:lineRule="auto"/>
      </w:pPr>
      <w:r>
        <w:rPr>
          <w:rFonts w:cs="Arial"/>
          <w:rtl/>
        </w:rPr>
        <w:t xml:space="preserve">החוקר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גיש את בקשת האישור </w:t>
      </w:r>
      <w:proofErr w:type="spellStart"/>
      <w:r>
        <w:rPr>
          <w:rFonts w:cs="Arial"/>
          <w:rtl/>
        </w:rPr>
        <w:t>לתת־הוועדה</w:t>
      </w:r>
      <w:proofErr w:type="spellEnd"/>
      <w:r>
        <w:rPr>
          <w:rFonts w:cs="Arial"/>
          <w:rtl/>
        </w:rPr>
        <w:t xml:space="preserve"> ה</w:t>
      </w:r>
      <w:r>
        <w:rPr>
          <w:rFonts w:cs="Arial" w:hint="cs"/>
          <w:rtl/>
        </w:rPr>
        <w:t xml:space="preserve">מתאימה </w:t>
      </w:r>
      <w:r>
        <w:rPr>
          <w:rFonts w:cs="Arial"/>
          <w:rtl/>
        </w:rPr>
        <w:t>באמצעות "טופס בקשה לאישור מחקר" שנקבע על ידי ועדת הסקירה המוסדית</w:t>
      </w:r>
      <w:r>
        <w:rPr>
          <w:rFonts w:hint="cs"/>
          <w:rtl/>
        </w:rPr>
        <w:t>.</w:t>
      </w:r>
    </w:p>
    <w:p w14:paraId="7D02310F" w14:textId="2549EC8B" w:rsidR="00861ACA" w:rsidRDefault="00530B69" w:rsidP="00C82E8A">
      <w:pPr>
        <w:spacing w:line="360" w:lineRule="auto"/>
        <w:ind w:left="284"/>
        <w:rPr>
          <w:rtl/>
        </w:rPr>
      </w:pPr>
      <w:proofErr w:type="spellStart"/>
      <w:r w:rsidRPr="00C82E8A">
        <w:rPr>
          <w:rFonts w:cs="Arial"/>
          <w:rtl/>
        </w:rPr>
        <w:t>תת־הוועדה</w:t>
      </w:r>
      <w:proofErr w:type="spellEnd"/>
      <w:r w:rsidRPr="00C82E8A">
        <w:rPr>
          <w:rFonts w:cs="Arial"/>
          <w:rtl/>
        </w:rPr>
        <w:t xml:space="preserve"> מבצעת סקירה ראשונית של הבקשה, לרבות כלל המסמכים וה</w:t>
      </w:r>
      <w:r w:rsidRPr="00C82E8A">
        <w:rPr>
          <w:rFonts w:cs="Arial" w:hint="cs"/>
          <w:rtl/>
        </w:rPr>
        <w:t xml:space="preserve">נספחים </w:t>
      </w:r>
      <w:r w:rsidRPr="00C82E8A">
        <w:rPr>
          <w:rFonts w:cs="Arial"/>
          <w:rtl/>
        </w:rPr>
        <w:t>הנדרשים. לאחר סיום הליך הסקירה והערכתה המקצועית, מועברת הבקשה בצירוף המלצתה לוועדה האוניברסיטאית, באמצעות מערכת מקוונת</w:t>
      </w:r>
      <w:r>
        <w:rPr>
          <w:rFonts w:hint="cs"/>
          <w:rtl/>
        </w:rPr>
        <w:t>.</w:t>
      </w:r>
    </w:p>
    <w:p w14:paraId="396D03F0" w14:textId="3A096EC8" w:rsidR="00C82E8A" w:rsidRDefault="00901606" w:rsidP="00C82E8A">
      <w:pPr>
        <w:spacing w:line="360" w:lineRule="auto"/>
        <w:ind w:left="284"/>
        <w:rPr>
          <w:rtl/>
        </w:rPr>
      </w:pPr>
      <w:r>
        <w:rPr>
          <w:rFonts w:cs="Arial"/>
          <w:rtl/>
        </w:rPr>
        <w:t xml:space="preserve">לאחר ביצוע הסקירה הסופית, הוועדה האוניברסיטאית </w:t>
      </w:r>
      <w:r>
        <w:rPr>
          <w:rFonts w:cs="Arial" w:hint="cs"/>
          <w:rtl/>
        </w:rPr>
        <w:t xml:space="preserve">תנפיק </w:t>
      </w:r>
      <w:r>
        <w:rPr>
          <w:rFonts w:cs="Arial"/>
          <w:rtl/>
        </w:rPr>
        <w:t>לחוקר אישור ממוספר בעברית ובאנגלית. רק הוועדה האוניברסיטאית מוסמכת להנפיק אישורי מחקר</w:t>
      </w:r>
      <w:r>
        <w:rPr>
          <w:rFonts w:hint="cs"/>
          <w:rtl/>
        </w:rPr>
        <w:t>.</w:t>
      </w:r>
    </w:p>
    <w:p w14:paraId="6ADCCB52" w14:textId="727874B9" w:rsidR="00901606" w:rsidRDefault="008D1347" w:rsidP="00C82E8A">
      <w:pPr>
        <w:spacing w:line="360" w:lineRule="auto"/>
        <w:ind w:left="284"/>
        <w:rPr>
          <w:rtl/>
        </w:rPr>
      </w:pPr>
      <w:r>
        <w:rPr>
          <w:rFonts w:cs="Arial"/>
          <w:rtl/>
        </w:rPr>
        <w:t xml:space="preserve">בקשות לאישורים מותנות בקבלת הסמכה של החוקרים באתיקה במחקר (למשל </w:t>
      </w:r>
      <w:r>
        <w:t>CITI, TCPS, SBM, GLOBAL HEALTH TRAINING CENTER, NIF/NIDA</w:t>
      </w:r>
      <w:r>
        <w:rPr>
          <w:rFonts w:cs="Arial"/>
          <w:rtl/>
        </w:rPr>
        <w:t>)</w:t>
      </w:r>
      <w:r>
        <w:rPr>
          <w:rFonts w:hint="cs"/>
          <w:rtl/>
        </w:rPr>
        <w:t>.</w:t>
      </w:r>
    </w:p>
    <w:p w14:paraId="5CA66D22" w14:textId="7E82F304" w:rsidR="008D1347" w:rsidRDefault="00FC34CF" w:rsidP="00C82E8A">
      <w:pPr>
        <w:spacing w:line="360" w:lineRule="auto"/>
        <w:ind w:left="284"/>
        <w:rPr>
          <w:rtl/>
        </w:rPr>
      </w:pPr>
      <w:r w:rsidRPr="00966846">
        <w:rPr>
          <w:rFonts w:cs="Arial"/>
          <w:rtl/>
        </w:rPr>
        <w:t xml:space="preserve">להלן </w:t>
      </w:r>
      <w:r>
        <w:rPr>
          <w:rFonts w:cs="Arial" w:hint="cs"/>
          <w:rtl/>
        </w:rPr>
        <w:t>דוגמאות לל</w:t>
      </w:r>
      <w:r w:rsidRPr="00966846">
        <w:rPr>
          <w:rFonts w:cs="Arial"/>
          <w:rtl/>
        </w:rPr>
        <w:t>ומדות חינמיות שמעניקות אישור להסמכה באתיקה</w:t>
      </w:r>
      <w:r>
        <w:rPr>
          <w:rFonts w:hint="cs"/>
          <w:rtl/>
        </w:rPr>
        <w:t>:</w:t>
      </w:r>
    </w:p>
    <w:p w14:paraId="7D0B83B2" w14:textId="77777777" w:rsidR="00802638" w:rsidRPr="00966846" w:rsidRDefault="00802638" w:rsidP="00802638">
      <w:pPr>
        <w:bidi w:val="0"/>
        <w:rPr>
          <w:rtl/>
        </w:rPr>
      </w:pPr>
      <w:hyperlink r:id="rId8" w:history="1">
        <w:r w:rsidRPr="00966846">
          <w:rPr>
            <w:rStyle w:val="Hyperlink"/>
          </w:rPr>
          <w:t>Good Clinical Practice (nidatraining.org)</w:t>
        </w:r>
      </w:hyperlink>
      <w:r w:rsidRPr="00966846">
        <w:t>  </w:t>
      </w:r>
    </w:p>
    <w:p w14:paraId="3DC848BD" w14:textId="77777777" w:rsidR="00802638" w:rsidRPr="00966846" w:rsidRDefault="00802638" w:rsidP="00802638">
      <w:pPr>
        <w:bidi w:val="0"/>
      </w:pPr>
      <w:hyperlink r:id="rId9" w:history="1">
        <w:r w:rsidRPr="00966846">
          <w:rPr>
            <w:rStyle w:val="Hyperlink"/>
          </w:rPr>
          <w:t>ICH Good Clinical Practice E6 (</w:t>
        </w:r>
        <w:proofErr w:type="gramStart"/>
        <w:r w:rsidRPr="00966846">
          <w:rPr>
            <w:rStyle w:val="Hyperlink"/>
          </w:rPr>
          <w:t>R2) •</w:t>
        </w:r>
        <w:proofErr w:type="gramEnd"/>
        <w:r w:rsidRPr="00966846">
          <w:rPr>
            <w:rStyle w:val="Hyperlink"/>
          </w:rPr>
          <w:t xml:space="preserve"> Global Health Training Centre (tghn.org)</w:t>
        </w:r>
      </w:hyperlink>
      <w:r w:rsidRPr="00966846">
        <w:t> </w:t>
      </w:r>
    </w:p>
    <w:p w14:paraId="479B44EA" w14:textId="77777777" w:rsidR="00802638" w:rsidRPr="00966846" w:rsidRDefault="00802638" w:rsidP="00802638">
      <w:pPr>
        <w:bidi w:val="0"/>
        <w:rPr>
          <w:rtl/>
        </w:rPr>
      </w:pPr>
      <w:hyperlink r:id="rId10" w:history="1">
        <w:r w:rsidRPr="00966846">
          <w:rPr>
            <w:rStyle w:val="Hyperlink"/>
          </w:rPr>
          <w:t xml:space="preserve">Good Clinical Practice </w:t>
        </w:r>
        <w:proofErr w:type="spellStart"/>
        <w:r w:rsidRPr="00966846">
          <w:rPr>
            <w:rStyle w:val="Hyperlink"/>
          </w:rPr>
          <w:t>eCourse</w:t>
        </w:r>
        <w:proofErr w:type="spellEnd"/>
        <w:r w:rsidRPr="00966846">
          <w:rPr>
            <w:rStyle w:val="Hyperlink"/>
          </w:rPr>
          <w:t xml:space="preserve"> | SBM - Society of Behavioral Medicine</w:t>
        </w:r>
      </w:hyperlink>
    </w:p>
    <w:p w14:paraId="2AAF9F13" w14:textId="77777777" w:rsidR="00802638" w:rsidRPr="00966846" w:rsidRDefault="00802638" w:rsidP="00802638">
      <w:pPr>
        <w:bidi w:val="0"/>
      </w:pPr>
      <w:hyperlink r:id="rId11" w:history="1">
        <w:r w:rsidRPr="00966846">
          <w:rPr>
            <w:rStyle w:val="Hyperlink"/>
          </w:rPr>
          <w:t>TCPS 2: CORE-2022 (tcps2core.ca)</w:t>
        </w:r>
      </w:hyperlink>
    </w:p>
    <w:p w14:paraId="407D9BF4" w14:textId="77777777" w:rsidR="00FC34CF" w:rsidRDefault="00FC34CF" w:rsidP="00C82E8A">
      <w:pPr>
        <w:spacing w:line="360" w:lineRule="auto"/>
        <w:ind w:left="284"/>
        <w:rPr>
          <w:rFonts w:hint="cs"/>
        </w:rPr>
      </w:pPr>
    </w:p>
    <w:p w14:paraId="50EB6F02" w14:textId="77777777" w:rsidR="00163F3B" w:rsidRPr="009E33AF" w:rsidRDefault="00163F3B" w:rsidP="00163F3B">
      <w:pPr>
        <w:pStyle w:val="a9"/>
        <w:spacing w:line="360" w:lineRule="auto"/>
        <w:ind w:left="644"/>
      </w:pPr>
    </w:p>
    <w:sectPr w:rsidR="00163F3B" w:rsidRPr="009E33AF" w:rsidSect="00505217">
      <w:headerReference w:type="default" r:id="rId12"/>
      <w:pgSz w:w="11906" w:h="16838"/>
      <w:pgMar w:top="2127" w:right="1800" w:bottom="1440" w:left="1800" w:header="73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543F" w14:textId="77777777" w:rsidR="00A14702" w:rsidRDefault="00A14702" w:rsidP="00EC15F4">
      <w:pPr>
        <w:spacing w:after="0" w:line="240" w:lineRule="auto"/>
      </w:pPr>
      <w:r>
        <w:separator/>
      </w:r>
    </w:p>
  </w:endnote>
  <w:endnote w:type="continuationSeparator" w:id="0">
    <w:p w14:paraId="20D8E89C" w14:textId="77777777" w:rsidR="00A14702" w:rsidRDefault="00A14702" w:rsidP="00EC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E589" w14:textId="77777777" w:rsidR="00A14702" w:rsidRDefault="00A14702" w:rsidP="00EC15F4">
      <w:pPr>
        <w:spacing w:after="0" w:line="240" w:lineRule="auto"/>
      </w:pPr>
      <w:r>
        <w:separator/>
      </w:r>
    </w:p>
  </w:footnote>
  <w:footnote w:type="continuationSeparator" w:id="0">
    <w:p w14:paraId="01FD408B" w14:textId="77777777" w:rsidR="00A14702" w:rsidRDefault="00A14702" w:rsidP="00EC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533D" w14:textId="1AE4A0F4" w:rsidR="00EC15F4" w:rsidRDefault="00826693" w:rsidP="00826693">
    <w:pPr>
      <w:pStyle w:val="af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FF82E5" wp14:editId="32ABB713">
          <wp:simplePos x="0" y="0"/>
          <wp:positionH relativeFrom="column">
            <wp:posOffset>4010025</wp:posOffset>
          </wp:positionH>
          <wp:positionV relativeFrom="paragraph">
            <wp:posOffset>-269240</wp:posOffset>
          </wp:positionV>
          <wp:extent cx="2006600" cy="746125"/>
          <wp:effectExtent l="0" t="0" r="0" b="0"/>
          <wp:wrapTight wrapText="bothSides">
            <wp:wrapPolygon edited="0">
              <wp:start x="17225" y="0"/>
              <wp:lineTo x="0" y="2206"/>
              <wp:lineTo x="0" y="8824"/>
              <wp:lineTo x="1435" y="8824"/>
              <wp:lineTo x="0" y="17096"/>
              <wp:lineTo x="0" y="20405"/>
              <wp:lineTo x="15790" y="20957"/>
              <wp:lineTo x="18866" y="20957"/>
              <wp:lineTo x="19071" y="20957"/>
              <wp:lineTo x="20506" y="17648"/>
              <wp:lineTo x="21327" y="15442"/>
              <wp:lineTo x="21327" y="8272"/>
              <wp:lineTo x="18661" y="0"/>
              <wp:lineTo x="17225" y="0"/>
            </wp:wrapPolygon>
          </wp:wrapTight>
          <wp:docPr id="1738649190" name="Picture 4" descr="לוגו אוניברסיטת בר איל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לוגו אוניברסיטת בר איל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F10">
      <w:rPr>
        <w:rFonts w:ascii="Arial" w:hAnsi="Arial" w:cs="Arial" w:hint="cs"/>
        <w:b/>
        <w:bCs/>
        <w:color w:val="319EC0"/>
        <w:sz w:val="32"/>
        <w:szCs w:val="32"/>
        <w:rtl/>
      </w:rPr>
      <w:t>רשות המחקר</w:t>
    </w:r>
    <w:r w:rsidRPr="00B76F10">
      <w:rPr>
        <w:rFonts w:ascii="Arial" w:hAnsi="Arial" w:cs="Arial" w:hint="cs"/>
        <w:b/>
        <w:bCs/>
        <w:color w:val="319EC0"/>
        <w:sz w:val="32"/>
        <w:szCs w:val="32"/>
      </w:rPr>
      <w:t xml:space="preserve">  </w:t>
    </w:r>
  </w:p>
  <w:p w14:paraId="47446F93" w14:textId="6455E17F" w:rsidR="00EC15F4" w:rsidRDefault="00826693" w:rsidP="00826693">
    <w:pPr>
      <w:pStyle w:val="af"/>
      <w:ind w:left="1607" w:firstLine="4153"/>
    </w:pPr>
    <w:r>
      <w:rPr>
        <w:rFonts w:ascii="Arial" w:hAnsi="Arial" w:cs="Arial"/>
        <w:color w:val="00503A"/>
      </w:rPr>
      <w:t>Research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F9A"/>
    <w:multiLevelType w:val="hybridMultilevel"/>
    <w:tmpl w:val="A94A232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E231D"/>
    <w:multiLevelType w:val="hybridMultilevel"/>
    <w:tmpl w:val="C8364B80"/>
    <w:lvl w:ilvl="0" w:tplc="1592FF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306A1"/>
    <w:multiLevelType w:val="hybridMultilevel"/>
    <w:tmpl w:val="79AC5F6A"/>
    <w:lvl w:ilvl="0" w:tplc="44DC1B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1E13"/>
    <w:multiLevelType w:val="hybridMultilevel"/>
    <w:tmpl w:val="AE02185A"/>
    <w:lvl w:ilvl="0" w:tplc="84A416CC">
      <w:start w:val="1"/>
      <w:numFmt w:val="decimal"/>
      <w:pStyle w:val="2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40E16"/>
    <w:multiLevelType w:val="hybridMultilevel"/>
    <w:tmpl w:val="924CFBD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B6F43"/>
    <w:multiLevelType w:val="hybridMultilevel"/>
    <w:tmpl w:val="42841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97C01"/>
    <w:multiLevelType w:val="hybridMultilevel"/>
    <w:tmpl w:val="787C92A4"/>
    <w:lvl w:ilvl="0" w:tplc="639A94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656518">
    <w:abstractNumId w:val="3"/>
  </w:num>
  <w:num w:numId="2" w16cid:durableId="2073379972">
    <w:abstractNumId w:val="4"/>
  </w:num>
  <w:num w:numId="3" w16cid:durableId="1470437848">
    <w:abstractNumId w:val="2"/>
  </w:num>
  <w:num w:numId="4" w16cid:durableId="1425957688">
    <w:abstractNumId w:val="6"/>
  </w:num>
  <w:num w:numId="5" w16cid:durableId="560868691">
    <w:abstractNumId w:val="1"/>
  </w:num>
  <w:num w:numId="6" w16cid:durableId="418716964">
    <w:abstractNumId w:val="0"/>
  </w:num>
  <w:num w:numId="7" w16cid:durableId="1048803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6C"/>
    <w:rsid w:val="0000095F"/>
    <w:rsid w:val="00006654"/>
    <w:rsid w:val="000423E5"/>
    <w:rsid w:val="00060870"/>
    <w:rsid w:val="00061EBF"/>
    <w:rsid w:val="001067A8"/>
    <w:rsid w:val="00144332"/>
    <w:rsid w:val="00163F3B"/>
    <w:rsid w:val="001C39BB"/>
    <w:rsid w:val="002142A8"/>
    <w:rsid w:val="00343744"/>
    <w:rsid w:val="00387B83"/>
    <w:rsid w:val="0039558E"/>
    <w:rsid w:val="004836E8"/>
    <w:rsid w:val="004D15E1"/>
    <w:rsid w:val="00505217"/>
    <w:rsid w:val="00530B69"/>
    <w:rsid w:val="005D5421"/>
    <w:rsid w:val="005D7A34"/>
    <w:rsid w:val="006633A8"/>
    <w:rsid w:val="007403B9"/>
    <w:rsid w:val="0078217D"/>
    <w:rsid w:val="00802638"/>
    <w:rsid w:val="00826693"/>
    <w:rsid w:val="00861ACA"/>
    <w:rsid w:val="00892FA3"/>
    <w:rsid w:val="008B4C12"/>
    <w:rsid w:val="008C4393"/>
    <w:rsid w:val="008C5F53"/>
    <w:rsid w:val="008D1347"/>
    <w:rsid w:val="008E0F4D"/>
    <w:rsid w:val="00901606"/>
    <w:rsid w:val="009E33AF"/>
    <w:rsid w:val="00A14702"/>
    <w:rsid w:val="00A36BD8"/>
    <w:rsid w:val="00A4415D"/>
    <w:rsid w:val="00A66FAB"/>
    <w:rsid w:val="00A76A41"/>
    <w:rsid w:val="00A834B6"/>
    <w:rsid w:val="00A835A8"/>
    <w:rsid w:val="00AE4722"/>
    <w:rsid w:val="00B94C13"/>
    <w:rsid w:val="00B96F6F"/>
    <w:rsid w:val="00BC56F0"/>
    <w:rsid w:val="00BD4BE7"/>
    <w:rsid w:val="00C20D07"/>
    <w:rsid w:val="00C335A0"/>
    <w:rsid w:val="00C82E8A"/>
    <w:rsid w:val="00CB7E84"/>
    <w:rsid w:val="00D466ED"/>
    <w:rsid w:val="00E2336C"/>
    <w:rsid w:val="00E5031C"/>
    <w:rsid w:val="00E57AC9"/>
    <w:rsid w:val="00EC15F4"/>
    <w:rsid w:val="00EE1D45"/>
    <w:rsid w:val="00EE5CD6"/>
    <w:rsid w:val="00F033AE"/>
    <w:rsid w:val="00F5524C"/>
    <w:rsid w:val="00FB6FB5"/>
    <w:rsid w:val="00FC0CDB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F9B14"/>
  <w15:chartTrackingRefBased/>
  <w15:docId w15:val="{C92181BD-EC34-47CA-A350-A09830C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0095F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/>
      <w:b/>
      <w:bCs/>
      <w:sz w:val="40"/>
      <w:szCs w:val="40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B94C13"/>
    <w:pPr>
      <w:keepNext/>
      <w:keepLines/>
      <w:numPr>
        <w:numId w:val="1"/>
      </w:numPr>
      <w:spacing w:before="160" w:after="80" w:line="360" w:lineRule="auto"/>
      <w:outlineLvl w:val="1"/>
    </w:pPr>
    <w:rPr>
      <w:rFonts w:asciiTheme="majorHAnsi" w:eastAsiaTheme="majorEastAsia" w:hAnsiTheme="majorHAnsi"/>
      <w:b/>
      <w:bCs/>
      <w:sz w:val="32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E5CD6"/>
    <w:pPr>
      <w:keepNext/>
      <w:keepLines/>
      <w:spacing w:before="160" w:after="80"/>
      <w:ind w:left="651"/>
      <w:outlineLvl w:val="2"/>
    </w:pPr>
    <w:rPr>
      <w:rFonts w:eastAsiaTheme="majorEastAsia"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095F"/>
    <w:rPr>
      <w:rFonts w:asciiTheme="majorHAnsi" w:eastAsiaTheme="majorEastAsia" w:hAnsiTheme="majorHAnsi"/>
      <w:b/>
      <w:bCs/>
      <w:sz w:val="40"/>
      <w:szCs w:val="40"/>
      <w:u w:val="single"/>
    </w:rPr>
  </w:style>
  <w:style w:type="character" w:customStyle="1" w:styleId="20">
    <w:name w:val="כותרת 2 תו"/>
    <w:basedOn w:val="a0"/>
    <w:link w:val="2"/>
    <w:uiPriority w:val="9"/>
    <w:rsid w:val="00B94C13"/>
    <w:rPr>
      <w:rFonts w:asciiTheme="majorHAnsi" w:eastAsiaTheme="majorEastAsia" w:hAnsiTheme="majorHAnsi"/>
      <w:b/>
      <w:bCs/>
      <w:sz w:val="32"/>
      <w:szCs w:val="28"/>
    </w:rPr>
  </w:style>
  <w:style w:type="character" w:customStyle="1" w:styleId="30">
    <w:name w:val="כותרת 3 תו"/>
    <w:basedOn w:val="a0"/>
    <w:link w:val="3"/>
    <w:uiPriority w:val="9"/>
    <w:rsid w:val="00EE5CD6"/>
    <w:rPr>
      <w:rFonts w:eastAsiaTheme="majorEastAsia"/>
      <w:bCs/>
      <w:sz w:val="28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E233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2336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233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2336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233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233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2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2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23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3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233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336C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4D15E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EC1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EC15F4"/>
  </w:style>
  <w:style w:type="paragraph" w:styleId="af1">
    <w:name w:val="footer"/>
    <w:basedOn w:val="a"/>
    <w:link w:val="af2"/>
    <w:uiPriority w:val="99"/>
    <w:unhideWhenUsed/>
    <w:rsid w:val="00EC1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EC15F4"/>
  </w:style>
  <w:style w:type="table" w:styleId="af3">
    <w:name w:val="Table Grid"/>
    <w:basedOn w:val="a1"/>
    <w:uiPriority w:val="39"/>
    <w:rsid w:val="00EC15F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a"/>
    <w:uiPriority w:val="99"/>
    <w:rsid w:val="00EC15F4"/>
    <w:pPr>
      <w:suppressAutoHyphens/>
      <w:autoSpaceDE w:val="0"/>
      <w:autoSpaceDN w:val="0"/>
      <w:bidi w:val="0"/>
      <w:adjustRightInd w:val="0"/>
      <w:spacing w:after="0"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kern w:val="0"/>
      <w:sz w:val="20"/>
      <w:szCs w:val="20"/>
      <w:lang w:bidi="ar-YE"/>
      <w14:ligatures w14:val="none"/>
    </w:rPr>
  </w:style>
  <w:style w:type="character" w:styleId="Hyperlink">
    <w:name w:val="Hyperlink"/>
    <w:basedOn w:val="a0"/>
    <w:uiPriority w:val="99"/>
    <w:unhideWhenUsed/>
    <w:rsid w:val="008026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gcp.nidatraining.org%2F&amp;data=05%7C02%7CAlon.Nusbaum%40biu.ac.il%7Cd7c5034384a045e0ab0208de2b3a0dea%7C61234e145b874b67ac198feaa8ba8f12%7C0%7C0%7C638995725544637352%7CUnknown%7CTWFpbGZsb3d8eyJFbXB0eU1hcGkiOnRydWUsIlYiOiIwLjAuMDAwMCIsIlAiOiJXaW4zMiIsIkFOIjoiTWFpbCIsIldUIjoyfQ%3D%3D%7C0%7C%7C%7C&amp;sdata=KqSEI8F2HGnT2hTZogE4DWSfp67z%2BeU6CY9fnDJpy%2FM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www.tcps2core.ca%2Fwelcome&amp;data=05%7C02%7CAlon.Nusbaum%40biu.ac.il%7Cd7c5034384a045e0ab0208de2b3a0dea%7C61234e145b874b67ac198feaa8ba8f12%7C0%7C0%7C638995725544794921%7CUnknown%7CTWFpbGZsb3d8eyJFbXB0eU1hcGkiOnRydWUsIlYiOiIwLjAuMDAwMCIsIlAiOiJXaW4zMiIsIkFOIjoiTWFpbCIsIldUIjoyfQ%3D%3D%7C0%7C%7C%7C&amp;sdata=NpKUM29AMZltLOsreUafw4asPA1CBTNGxAoi7TIZGhY%3D&amp;reserved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02.safelinks.protection.outlook.com/?url=https%3A%2F%2Fwww.sbm.org%2Ftraining%2Fgood-clinical-practice-for-social-and-behavioral-research-elearning-course&amp;data=05%7C02%7CAlon.Nusbaum%40biu.ac.il%7Cd7c5034384a045e0ab0208de2b3a0dea%7C61234e145b874b67ac198feaa8ba8f12%7C0%7C0%7C638995725544731070%7CUnknown%7CTWFpbGZsb3d8eyJFbXB0eU1hcGkiOnRydWUsIlYiOiIwLjAuMDAwMCIsIlAiOiJXaW4zMiIsIkFOIjoiTWFpbCIsIldUIjoyfQ%3D%3D%7C0%7C%7C%7C&amp;sdata=Hdz%2FHSQZdFv2KqHu74jnc3iL0WQkMet%2B6m0Sj6jU57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globalhealthtrainingcentre.tghn.org%2Fich-good-clinical-practice%2F&amp;data=05%7C02%7CAlon.Nusbaum%40biu.ac.il%7Cd7c5034384a045e0ab0208de2b3a0dea%7C61234e145b874b67ac198feaa8ba8f12%7C0%7C0%7C638995725544685484%7CUnknown%7CTWFpbGZsb3d8eyJFbXB0eU1hcGkiOnRydWUsIlYiOiIwLjAuMDAwMCIsIlAiOiJXaW4zMiIsIkFOIjoiTWFpbCIsIldUIjoyfQ%3D%3D%7C0%7C%7C%7C&amp;sdata=I%2BmQKfIjSdRErXsvq6blLmKgsCzupAB%2FEXFxWKHMSi4%3D&amp;reserved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D5D5-890E-4C14-B334-FFBFD3B4F9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592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דפנה ארז</dc:creator>
  <cp:keywords/>
  <dc:description/>
  <cp:lastModifiedBy>דפנה ארז</cp:lastModifiedBy>
  <cp:revision>26</cp:revision>
  <dcterms:created xsi:type="dcterms:W3CDTF">2025-08-18T10:10:00Z</dcterms:created>
  <dcterms:modified xsi:type="dcterms:W3CDTF">2025-11-25T07:00:00Z</dcterms:modified>
</cp:coreProperties>
</file>